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8598" w14:textId="226B7176" w:rsidR="00991564" w:rsidRDefault="00991564" w:rsidP="00991564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Quadro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1 - Classificação de Resíduos da Construção Civil (RCC)</w:t>
      </w:r>
    </w:p>
    <w:tbl>
      <w:tblPr>
        <w:tblStyle w:val="1"/>
        <w:tblW w:w="85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834"/>
        <w:gridCol w:w="2714"/>
        <w:gridCol w:w="2329"/>
      </w:tblGrid>
      <w:tr w:rsidR="00991564" w14:paraId="479EE65F" w14:textId="77777777" w:rsidTr="007A0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shd w:val="clear" w:color="auto" w:fill="FFFFFF"/>
          </w:tcPr>
          <w:p w14:paraId="3D7CEF23" w14:textId="77777777" w:rsidR="00991564" w:rsidRDefault="00991564" w:rsidP="007A0C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RCC</w:t>
            </w:r>
          </w:p>
        </w:tc>
        <w:tc>
          <w:tcPr>
            <w:tcW w:w="1834" w:type="dxa"/>
            <w:shd w:val="clear" w:color="auto" w:fill="FFFFFF"/>
          </w:tcPr>
          <w:p w14:paraId="7CEEE029" w14:textId="77777777" w:rsidR="00991564" w:rsidRDefault="00991564" w:rsidP="007A0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Definição</w:t>
            </w:r>
          </w:p>
        </w:tc>
        <w:tc>
          <w:tcPr>
            <w:tcW w:w="2714" w:type="dxa"/>
            <w:shd w:val="clear" w:color="auto" w:fill="FFFFFF"/>
          </w:tcPr>
          <w:p w14:paraId="731A8BEA" w14:textId="77777777" w:rsidR="00991564" w:rsidRDefault="00991564" w:rsidP="007A0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Exemplos</w:t>
            </w:r>
          </w:p>
        </w:tc>
        <w:tc>
          <w:tcPr>
            <w:tcW w:w="2329" w:type="dxa"/>
            <w:shd w:val="clear" w:color="auto" w:fill="FFFFFF"/>
          </w:tcPr>
          <w:p w14:paraId="5C767622" w14:textId="77777777" w:rsidR="00991564" w:rsidRDefault="00991564" w:rsidP="007A0C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Destinações</w:t>
            </w:r>
          </w:p>
        </w:tc>
      </w:tr>
      <w:tr w:rsidR="00991564" w14:paraId="74D20AAC" w14:textId="77777777" w:rsidTr="007A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shd w:val="clear" w:color="auto" w:fill="FFFFFF"/>
          </w:tcPr>
          <w:p w14:paraId="35F89331" w14:textId="77777777" w:rsidR="00991564" w:rsidRDefault="00991564" w:rsidP="007A0C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A</w:t>
            </w:r>
          </w:p>
        </w:tc>
        <w:tc>
          <w:tcPr>
            <w:tcW w:w="1834" w:type="dxa"/>
            <w:shd w:val="clear" w:color="auto" w:fill="FFFFFF"/>
          </w:tcPr>
          <w:p w14:paraId="1C339FFC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Resíduos reutilizáveis ou recicláveis como agregados</w:t>
            </w:r>
          </w:p>
        </w:tc>
        <w:tc>
          <w:tcPr>
            <w:tcW w:w="2714" w:type="dxa"/>
            <w:shd w:val="clear" w:color="auto" w:fill="FFFFFF"/>
          </w:tcPr>
          <w:p w14:paraId="038D5094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resíduos de pavimentação e de outras obras de infraestrutura, inclusive solos provenientes de terraplanagem; - resíduos de componentes cerâmicos (tijolos, blocos, telhas, placas de revestimento etc.), argamassa e concreto; - resíduos oriundos de processo de fabricação e/ou demolição de peças pré-moldadas em concreto (blocos, tubos, meios-fios etc.) produzidas nos canteiros de obras.</w:t>
            </w:r>
          </w:p>
        </w:tc>
        <w:tc>
          <w:tcPr>
            <w:tcW w:w="2329" w:type="dxa"/>
            <w:shd w:val="clear" w:color="auto" w:fill="FFFFFF"/>
          </w:tcPr>
          <w:p w14:paraId="5F5902EC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Reutilização ou reciclagem na forma de agregados, ou encaminhados às áreas de aterro de resíduos da construção civil, sendo dispostos de modo a permitir a sua utilização ou reciclagem futura.</w:t>
            </w:r>
          </w:p>
        </w:tc>
      </w:tr>
      <w:tr w:rsidR="00991564" w14:paraId="77286C07" w14:textId="77777777" w:rsidTr="007A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shd w:val="clear" w:color="auto" w:fill="FFFFFF"/>
          </w:tcPr>
          <w:p w14:paraId="38F05AC0" w14:textId="77777777" w:rsidR="00991564" w:rsidRDefault="00991564" w:rsidP="007A0C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B</w:t>
            </w:r>
          </w:p>
        </w:tc>
        <w:tc>
          <w:tcPr>
            <w:tcW w:w="1834" w:type="dxa"/>
            <w:shd w:val="clear" w:color="auto" w:fill="FFFFFF"/>
          </w:tcPr>
          <w:p w14:paraId="77D651BC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os resíduos recicláveis para outras destinações</w:t>
            </w:r>
          </w:p>
        </w:tc>
        <w:tc>
          <w:tcPr>
            <w:tcW w:w="2714" w:type="dxa"/>
            <w:shd w:val="clear" w:color="auto" w:fill="FFFFFF"/>
          </w:tcPr>
          <w:p w14:paraId="740A9F44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Plásticos, papel/papelão, metais, vidros, madeiras e outros;</w:t>
            </w:r>
          </w:p>
        </w:tc>
        <w:tc>
          <w:tcPr>
            <w:tcW w:w="2329" w:type="dxa"/>
            <w:shd w:val="clear" w:color="auto" w:fill="FFFFFF"/>
          </w:tcPr>
          <w:p w14:paraId="568CEB36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Reutilização/reciclagem ou encaminhamento às áreas de armazenamento temporário, sendo dispostos de modo a permitir a sua utilização ou reciclagem futura.</w:t>
            </w:r>
          </w:p>
        </w:tc>
      </w:tr>
      <w:tr w:rsidR="00991564" w14:paraId="46E8EB0A" w14:textId="77777777" w:rsidTr="007A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shd w:val="clear" w:color="auto" w:fill="FFFFFF"/>
          </w:tcPr>
          <w:p w14:paraId="64C53A95" w14:textId="77777777" w:rsidR="00991564" w:rsidRDefault="00991564" w:rsidP="007A0C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C</w:t>
            </w:r>
          </w:p>
        </w:tc>
        <w:tc>
          <w:tcPr>
            <w:tcW w:w="1834" w:type="dxa"/>
            <w:shd w:val="clear" w:color="auto" w:fill="FFFFFF"/>
          </w:tcPr>
          <w:p w14:paraId="7D6551A6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os resíduos para os quais não foram desenvolvidas tecnologias ou aplicações economicamente viáveis que permitam a sua reciclagem/ recuperação</w:t>
            </w:r>
          </w:p>
        </w:tc>
        <w:tc>
          <w:tcPr>
            <w:tcW w:w="2714" w:type="dxa"/>
            <w:shd w:val="clear" w:color="auto" w:fill="FFFFFF"/>
          </w:tcPr>
          <w:p w14:paraId="32FA403F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produtos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oriundos do gesso</w:t>
            </w:r>
          </w:p>
        </w:tc>
        <w:tc>
          <w:tcPr>
            <w:tcW w:w="2329" w:type="dxa"/>
            <w:shd w:val="clear" w:color="auto" w:fill="FFFFFF"/>
          </w:tcPr>
          <w:p w14:paraId="457F7CF0" w14:textId="77777777" w:rsidR="00991564" w:rsidRDefault="00991564" w:rsidP="007A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Armazenamento, transporte e destinação final conforme normas técnicas específicas.</w:t>
            </w:r>
          </w:p>
        </w:tc>
      </w:tr>
      <w:tr w:rsidR="00991564" w14:paraId="69B697FD" w14:textId="77777777" w:rsidTr="007A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shd w:val="clear" w:color="auto" w:fill="FFFFFF"/>
          </w:tcPr>
          <w:p w14:paraId="708DAF07" w14:textId="77777777" w:rsidR="00991564" w:rsidRDefault="00991564" w:rsidP="007A0C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D</w:t>
            </w:r>
          </w:p>
        </w:tc>
        <w:tc>
          <w:tcPr>
            <w:tcW w:w="1834" w:type="dxa"/>
            <w:shd w:val="clear" w:color="auto" w:fill="FFFFFF"/>
          </w:tcPr>
          <w:p w14:paraId="06809BEE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os resíduos perigosos oriundos do processo de construção</w:t>
            </w:r>
          </w:p>
        </w:tc>
        <w:tc>
          <w:tcPr>
            <w:tcW w:w="2714" w:type="dxa"/>
            <w:shd w:val="clear" w:color="auto" w:fill="FFFFFF"/>
          </w:tcPr>
          <w:p w14:paraId="0EEA9AA8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tintas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solventes, óleos e outros, ou aqueles contaminados oriundos de demolições, reformas e reparos de clínicas radiológicas, instalações industriais e outros.</w:t>
            </w:r>
          </w:p>
        </w:tc>
        <w:tc>
          <w:tcPr>
            <w:tcW w:w="2329" w:type="dxa"/>
            <w:shd w:val="clear" w:color="auto" w:fill="FFFFFF"/>
          </w:tcPr>
          <w:p w14:paraId="593BE46A" w14:textId="77777777" w:rsidR="00991564" w:rsidRDefault="00991564" w:rsidP="007A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Armazenamento, transporte, reutilização e destinação final conforme normas técnicas específicas.</w:t>
            </w:r>
          </w:p>
        </w:tc>
      </w:tr>
    </w:tbl>
    <w:p w14:paraId="1CF1AAD1" w14:textId="77777777" w:rsidR="00991564" w:rsidRDefault="00991564" w:rsidP="00991564">
      <w:r>
        <w:t>Fonte:  Lima e Lima (2012)</w:t>
      </w:r>
    </w:p>
    <w:p w14:paraId="7FFBD302" w14:textId="77777777" w:rsidR="004B352F" w:rsidRDefault="004B352F"/>
    <w:sectPr w:rsidR="004B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64"/>
    <w:rsid w:val="004B352F"/>
    <w:rsid w:val="005C793C"/>
    <w:rsid w:val="009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DC2C"/>
  <w15:chartTrackingRefBased/>
  <w15:docId w15:val="{26F8315C-8D48-48B1-A5EA-4AE3A47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1">
    <w:name w:val="1"/>
    <w:basedOn w:val="Tabelanormal"/>
    <w:rsid w:val="00991564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StyleRowBandSize w:val="1"/>
      <w:tblStyleColBandSize w:val="1"/>
      <w:tblInd w:w="0" w:type="nil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Souza de Freitas</dc:creator>
  <cp:keywords/>
  <dc:description/>
  <cp:lastModifiedBy>Gabriel Souza de Freitas</cp:lastModifiedBy>
  <cp:revision>1</cp:revision>
  <dcterms:created xsi:type="dcterms:W3CDTF">2020-07-01T16:56:00Z</dcterms:created>
  <dcterms:modified xsi:type="dcterms:W3CDTF">2020-07-01T17:02:00Z</dcterms:modified>
</cp:coreProperties>
</file>