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BF2B" w14:textId="464FB36F" w:rsidR="00F31E6A" w:rsidRPr="00B453E1" w:rsidRDefault="00F31E6A" w:rsidP="00994826">
      <w:pPr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453E1">
        <w:rPr>
          <w:rFonts w:ascii="Arial" w:eastAsia="Calibri" w:hAnsi="Arial" w:cs="Arial"/>
          <w:b/>
          <w:bCs/>
          <w:sz w:val="20"/>
          <w:szCs w:val="20"/>
        </w:rPr>
        <w:t>Guarulhos, 2</w:t>
      </w:r>
      <w:r w:rsidR="00A9513A" w:rsidRPr="00B453E1">
        <w:rPr>
          <w:rFonts w:ascii="Arial" w:eastAsia="Calibri" w:hAnsi="Arial" w:cs="Arial"/>
          <w:b/>
          <w:bCs/>
          <w:sz w:val="20"/>
          <w:szCs w:val="20"/>
        </w:rPr>
        <w:t>9</w:t>
      </w:r>
      <w:r w:rsidRPr="00B453E1">
        <w:rPr>
          <w:rFonts w:ascii="Arial" w:eastAsia="Calibri" w:hAnsi="Arial" w:cs="Arial"/>
          <w:b/>
          <w:bCs/>
          <w:sz w:val="20"/>
          <w:szCs w:val="20"/>
        </w:rPr>
        <w:t xml:space="preserve"> de outubro de 2020.</w:t>
      </w:r>
    </w:p>
    <w:p w14:paraId="4B7D3D03" w14:textId="54C9CFE2" w:rsidR="00F31E6A" w:rsidRPr="0049794C" w:rsidRDefault="00F31E6A" w:rsidP="00994826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11718">
        <w:rPr>
          <w:rFonts w:ascii="Arial" w:eastAsia="Calibri" w:hAnsi="Arial" w:cs="Arial"/>
          <w:b/>
          <w:bCs/>
          <w:sz w:val="20"/>
          <w:szCs w:val="20"/>
        </w:rPr>
        <w:t>Assunto:</w:t>
      </w:r>
      <w:r w:rsidRPr="0049794C">
        <w:rPr>
          <w:rFonts w:ascii="Arial" w:eastAsia="Calibri" w:hAnsi="Arial" w:cs="Arial"/>
          <w:sz w:val="20"/>
          <w:szCs w:val="20"/>
        </w:rPr>
        <w:t xml:space="preserve"> Carta ao editor para publicação do artigo “</w:t>
      </w:r>
      <w:r w:rsidR="00A9513A" w:rsidRPr="00CF44EC">
        <w:rPr>
          <w:bCs/>
        </w:rPr>
        <w:t>Avaliação das propriedades mecânicas de fios e braquetes ortodônticos estéticos</w:t>
      </w:r>
      <w:r w:rsidR="00A9513A">
        <w:rPr>
          <w:bCs/>
        </w:rPr>
        <w:t>.</w:t>
      </w:r>
      <w:r w:rsidRPr="0049794C">
        <w:rPr>
          <w:rFonts w:ascii="Arial" w:hAnsi="Arial" w:cs="Arial"/>
          <w:bCs/>
          <w:sz w:val="20"/>
          <w:szCs w:val="20"/>
        </w:rPr>
        <w:t>” na Revista Saúde UNG.</w:t>
      </w:r>
    </w:p>
    <w:p w14:paraId="16E04DD3" w14:textId="77777777" w:rsidR="00F31E6A" w:rsidRPr="0049794C" w:rsidRDefault="00F31E6A" w:rsidP="0099482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24F8CFD" w14:textId="4742B3AF" w:rsidR="00F31E6A" w:rsidRPr="00111718" w:rsidRDefault="00F31E6A" w:rsidP="00994826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11718">
        <w:rPr>
          <w:rFonts w:ascii="Arial" w:eastAsia="Calibri" w:hAnsi="Arial" w:cs="Arial"/>
          <w:b/>
          <w:bCs/>
          <w:sz w:val="20"/>
          <w:szCs w:val="20"/>
        </w:rPr>
        <w:t xml:space="preserve">Prezado </w:t>
      </w:r>
      <w:r w:rsidRPr="00111718">
        <w:rPr>
          <w:rFonts w:ascii="Arial" w:hAnsi="Arial" w:cs="Arial"/>
          <w:b/>
          <w:bCs/>
          <w:sz w:val="20"/>
          <w:szCs w:val="20"/>
        </w:rPr>
        <w:t>conselho editorial,</w:t>
      </w:r>
    </w:p>
    <w:p w14:paraId="64F4267A" w14:textId="77777777" w:rsidR="00156D2B" w:rsidRPr="0049794C" w:rsidRDefault="00156D2B" w:rsidP="0099482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FF4445B" w14:textId="38EF4D4C" w:rsidR="0049794C" w:rsidRPr="0049794C" w:rsidRDefault="00156D2B" w:rsidP="00994826">
      <w:pPr>
        <w:spacing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9794C">
        <w:rPr>
          <w:rFonts w:ascii="Arial" w:hAnsi="Arial" w:cs="Arial"/>
          <w:sz w:val="20"/>
          <w:szCs w:val="20"/>
        </w:rPr>
        <w:t>É sabido que a efetividade da movimentação</w:t>
      </w:r>
      <w:r w:rsidR="00A64463" w:rsidRPr="0049794C">
        <w:rPr>
          <w:rFonts w:ascii="Arial" w:hAnsi="Arial" w:cs="Arial"/>
          <w:sz w:val="20"/>
          <w:szCs w:val="20"/>
        </w:rPr>
        <w:t xml:space="preserve"> ortodôntica</w:t>
      </w:r>
      <w:r w:rsidRPr="0049794C">
        <w:rPr>
          <w:rFonts w:ascii="Arial" w:hAnsi="Arial" w:cs="Arial"/>
          <w:sz w:val="20"/>
          <w:szCs w:val="20"/>
        </w:rPr>
        <w:t xml:space="preserve"> envolve vários fatores relacionados ao paciente</w:t>
      </w:r>
      <w:r w:rsidR="0049794C">
        <w:rPr>
          <w:rFonts w:ascii="Arial" w:hAnsi="Arial" w:cs="Arial"/>
          <w:sz w:val="20"/>
          <w:szCs w:val="20"/>
        </w:rPr>
        <w:t>,</w:t>
      </w:r>
      <w:r w:rsidRPr="0049794C">
        <w:rPr>
          <w:rFonts w:ascii="Arial" w:hAnsi="Arial" w:cs="Arial"/>
          <w:sz w:val="20"/>
          <w:szCs w:val="20"/>
        </w:rPr>
        <w:t xml:space="preserve"> seus dentes e estruturas de suporte e ao tipo de mecânica aplicada. Dentre estes aspectos, a movimentação</w:t>
      </w:r>
      <w:r w:rsidR="00A64463" w:rsidRPr="0049794C">
        <w:rPr>
          <w:rFonts w:ascii="Arial" w:hAnsi="Arial" w:cs="Arial"/>
          <w:sz w:val="20"/>
          <w:szCs w:val="20"/>
        </w:rPr>
        <w:t xml:space="preserve"> dentária</w:t>
      </w:r>
      <w:r w:rsidRPr="0049794C">
        <w:rPr>
          <w:rFonts w:ascii="Arial" w:hAnsi="Arial" w:cs="Arial"/>
          <w:sz w:val="20"/>
          <w:szCs w:val="20"/>
        </w:rPr>
        <w:t xml:space="preserve"> depende também da ação dos fios ortodônticos</w:t>
      </w:r>
      <w:r w:rsidR="00A64463" w:rsidRPr="0049794C">
        <w:rPr>
          <w:rFonts w:ascii="Arial" w:hAnsi="Arial" w:cs="Arial"/>
          <w:sz w:val="20"/>
          <w:szCs w:val="20"/>
        </w:rPr>
        <w:t xml:space="preserve"> e br</w:t>
      </w:r>
      <w:r w:rsidR="0049794C" w:rsidRPr="0049794C">
        <w:rPr>
          <w:rFonts w:ascii="Arial" w:hAnsi="Arial" w:cs="Arial"/>
          <w:sz w:val="20"/>
          <w:szCs w:val="20"/>
        </w:rPr>
        <w:t>a</w:t>
      </w:r>
      <w:r w:rsidR="00A64463" w:rsidRPr="0049794C">
        <w:rPr>
          <w:rFonts w:ascii="Arial" w:hAnsi="Arial" w:cs="Arial"/>
          <w:sz w:val="20"/>
          <w:szCs w:val="20"/>
        </w:rPr>
        <w:t>quetes</w:t>
      </w:r>
      <w:r w:rsidRPr="0049794C">
        <w:rPr>
          <w:rFonts w:ascii="Arial" w:hAnsi="Arial" w:cs="Arial"/>
          <w:sz w:val="20"/>
          <w:szCs w:val="20"/>
        </w:rPr>
        <w:t>, que variam conforme suas características estruturais e mecânicas</w:t>
      </w:r>
      <w:r w:rsidR="00746CFE" w:rsidRPr="0049794C">
        <w:rPr>
          <w:rFonts w:ascii="Arial" w:hAnsi="Arial" w:cs="Arial"/>
          <w:sz w:val="20"/>
          <w:szCs w:val="20"/>
        </w:rPr>
        <w:t xml:space="preserve"> e</w:t>
      </w:r>
      <w:r w:rsidR="0049794C" w:rsidRPr="0049794C">
        <w:rPr>
          <w:rFonts w:ascii="Arial" w:hAnsi="Arial" w:cs="Arial"/>
          <w:sz w:val="20"/>
          <w:szCs w:val="20"/>
        </w:rPr>
        <w:t>, juntos,</w:t>
      </w:r>
      <w:r w:rsidR="00746CFE" w:rsidRPr="0049794C">
        <w:rPr>
          <w:rFonts w:ascii="Arial" w:hAnsi="Arial" w:cs="Arial"/>
          <w:sz w:val="20"/>
          <w:szCs w:val="20"/>
        </w:rPr>
        <w:t xml:space="preserve"> promovem um sistema de forças especificamente guiado</w:t>
      </w:r>
      <w:r w:rsidR="0049794C" w:rsidRPr="0049794C">
        <w:rPr>
          <w:rFonts w:ascii="Arial" w:hAnsi="Arial" w:cs="Arial"/>
          <w:sz w:val="20"/>
          <w:szCs w:val="20"/>
        </w:rPr>
        <w:t xml:space="preserve"> baseada no princípio da acumulação de energia elástica e transformação dessa energia em trabalho mecânico por meio da movimentação dos dentes. (Quintão e </w:t>
      </w:r>
      <w:proofErr w:type="spellStart"/>
      <w:r w:rsidR="0049794C" w:rsidRPr="0049794C">
        <w:rPr>
          <w:rFonts w:ascii="Arial" w:hAnsi="Arial" w:cs="Arial"/>
          <w:sz w:val="20"/>
          <w:szCs w:val="20"/>
        </w:rPr>
        <w:t>Brunharo</w:t>
      </w:r>
      <w:proofErr w:type="spellEnd"/>
      <w:r w:rsidR="0049794C" w:rsidRPr="0049794C">
        <w:rPr>
          <w:rFonts w:ascii="Arial" w:hAnsi="Arial" w:cs="Arial"/>
          <w:sz w:val="20"/>
          <w:szCs w:val="20"/>
        </w:rPr>
        <w:t xml:space="preserve"> 2009)</w:t>
      </w:r>
    </w:p>
    <w:p w14:paraId="7B0D2CDE" w14:textId="56858A13" w:rsidR="00B0302F" w:rsidRPr="0049794C" w:rsidRDefault="00B0302F" w:rsidP="00994826">
      <w:pPr>
        <w:spacing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9794C">
        <w:rPr>
          <w:rFonts w:ascii="Arial" w:hAnsi="Arial" w:cs="Arial"/>
          <w:sz w:val="20"/>
          <w:szCs w:val="20"/>
        </w:rPr>
        <w:t xml:space="preserve">A demanda pela estética fez com que diversas empresas começassem a produzir, no final da década de 70, braquetes não metálicos, de policarbonato ou cerâmicos. Atualmente, os braquetes estéticos representam uma realidade na clínica ortodôntica, oferecendo uma alternativa aos metálicos. Entretanto, o mesmo não ocorreu em relação aos fios estéticos, que foram pouco relatados na literatura ortodôntica até meados da primeira década do século XXI. </w:t>
      </w:r>
      <w:r w:rsidR="0049794C" w:rsidRPr="0049794C">
        <w:rPr>
          <w:rFonts w:ascii="Arial" w:hAnsi="Arial" w:cs="Arial"/>
          <w:sz w:val="20"/>
          <w:szCs w:val="20"/>
        </w:rPr>
        <w:t xml:space="preserve">(Hershey 1988, Huang, </w:t>
      </w:r>
      <w:proofErr w:type="spellStart"/>
      <w:r w:rsidR="0049794C" w:rsidRPr="0049794C">
        <w:rPr>
          <w:rFonts w:ascii="Arial" w:hAnsi="Arial" w:cs="Arial"/>
          <w:sz w:val="20"/>
          <w:szCs w:val="20"/>
        </w:rPr>
        <w:t>Gopal</w:t>
      </w:r>
      <w:proofErr w:type="spellEnd"/>
      <w:r w:rsidR="0049794C" w:rsidRPr="0049794C">
        <w:rPr>
          <w:rFonts w:ascii="Arial" w:hAnsi="Arial" w:cs="Arial"/>
          <w:sz w:val="20"/>
          <w:szCs w:val="20"/>
        </w:rPr>
        <w:t xml:space="preserve"> et al. 2003)</w:t>
      </w:r>
    </w:p>
    <w:p w14:paraId="5E0BB147" w14:textId="540AD698" w:rsidR="00B0302F" w:rsidRPr="0049794C" w:rsidRDefault="00B0302F" w:rsidP="00994826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9794C">
        <w:rPr>
          <w:rFonts w:ascii="Arial" w:hAnsi="Arial" w:cs="Arial"/>
          <w:sz w:val="20"/>
          <w:szCs w:val="20"/>
        </w:rPr>
        <w:t xml:space="preserve">Atualmente, com o acesso à tecnologia, existe a possibilidade de medir com precisão as forças envolvidas nos diversos desenhos de braquetes geradas pelas novas composições de ligas para a fabricação destes fios. Assim, é possível conhecer melhor as propriedades metalográficas, mecânicas e biológicas das ligas, além da quantidade de força dissipada durante o tratamento. </w:t>
      </w:r>
      <w:r w:rsidR="0049794C" w:rsidRPr="0049794C">
        <w:rPr>
          <w:rFonts w:ascii="Arial" w:hAnsi="Arial" w:cs="Arial"/>
          <w:sz w:val="20"/>
          <w:szCs w:val="20"/>
        </w:rPr>
        <w:t>(</w:t>
      </w:r>
      <w:proofErr w:type="spellStart"/>
      <w:r w:rsidR="0049794C" w:rsidRPr="0049794C">
        <w:rPr>
          <w:rFonts w:ascii="Arial" w:hAnsi="Arial" w:cs="Arial"/>
          <w:sz w:val="20"/>
          <w:szCs w:val="20"/>
        </w:rPr>
        <w:t>Ghersel</w:t>
      </w:r>
      <w:proofErr w:type="spellEnd"/>
      <w:r w:rsidR="0049794C" w:rsidRPr="0049794C">
        <w:rPr>
          <w:rFonts w:ascii="Arial" w:hAnsi="Arial" w:cs="Arial"/>
          <w:sz w:val="20"/>
          <w:szCs w:val="20"/>
        </w:rPr>
        <w:t xml:space="preserve"> 2005)</w:t>
      </w:r>
    </w:p>
    <w:p w14:paraId="501A16F0" w14:textId="6161113A" w:rsidR="00FB5C1A" w:rsidRPr="0049794C" w:rsidRDefault="00111718" w:rsidP="00994826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F7D24E" wp14:editId="1F2FAD02">
            <wp:simplePos x="0" y="0"/>
            <wp:positionH relativeFrom="margin">
              <wp:posOffset>1755775</wp:posOffset>
            </wp:positionH>
            <wp:positionV relativeFrom="margin">
              <wp:posOffset>5431016</wp:posOffset>
            </wp:positionV>
            <wp:extent cx="2462530" cy="1372870"/>
            <wp:effectExtent l="0" t="0" r="1270" b="0"/>
            <wp:wrapNone/>
            <wp:docPr id="10" name="Imagem 10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sinatura Murilo 2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C1A" w:rsidRPr="0049794C">
        <w:rPr>
          <w:rFonts w:ascii="Arial" w:hAnsi="Arial" w:cs="Arial"/>
          <w:sz w:val="20"/>
          <w:szCs w:val="20"/>
        </w:rPr>
        <w:t xml:space="preserve">Face ao acima exposto, observa-se, portanto, a existência de uma escassez de estudos dessa natureza e publicações científicas e, por conta disso, </w:t>
      </w:r>
      <w:r w:rsidR="0038474A" w:rsidRPr="0049794C">
        <w:rPr>
          <w:rFonts w:ascii="Arial" w:hAnsi="Arial" w:cs="Arial"/>
          <w:sz w:val="20"/>
          <w:szCs w:val="20"/>
        </w:rPr>
        <w:t>justifica-se o presente trabalho que teve por objetivo estudar as forças geradas pela deflexão de fios ortodônticos usados rotineiramente no consultório, disponíveis no mercado, associados com diferentes tipos de br</w:t>
      </w:r>
      <w:r w:rsidR="0049794C" w:rsidRPr="0049794C">
        <w:rPr>
          <w:rFonts w:ascii="Arial" w:hAnsi="Arial" w:cs="Arial"/>
          <w:sz w:val="20"/>
          <w:szCs w:val="20"/>
        </w:rPr>
        <w:t>a</w:t>
      </w:r>
      <w:r w:rsidR="0038474A" w:rsidRPr="0049794C">
        <w:rPr>
          <w:rFonts w:ascii="Arial" w:hAnsi="Arial" w:cs="Arial"/>
          <w:sz w:val="20"/>
          <w:szCs w:val="20"/>
        </w:rPr>
        <w:t>quetes autoligáveis estéticos, especificamente, neste caso, fios ortodônticos de Níquel-Titânio com recobrimento estético empregado em conjunto com br</w:t>
      </w:r>
      <w:r w:rsidR="0049794C" w:rsidRPr="0049794C">
        <w:rPr>
          <w:rFonts w:ascii="Arial" w:hAnsi="Arial" w:cs="Arial"/>
          <w:sz w:val="20"/>
          <w:szCs w:val="20"/>
        </w:rPr>
        <w:t>a</w:t>
      </w:r>
      <w:r w:rsidR="0038474A" w:rsidRPr="0049794C">
        <w:rPr>
          <w:rFonts w:ascii="Arial" w:hAnsi="Arial" w:cs="Arial"/>
          <w:sz w:val="20"/>
          <w:szCs w:val="20"/>
        </w:rPr>
        <w:t>quetes autoligáveis cerâmicos passivos e interativos.</w:t>
      </w:r>
    </w:p>
    <w:p w14:paraId="48053CD3" w14:textId="50C35EA7" w:rsidR="00F31E6A" w:rsidRPr="0049794C" w:rsidRDefault="00F31E6A" w:rsidP="00994826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38FA982" w14:textId="3E4F323C" w:rsidR="00FB03FF" w:rsidRDefault="00F31E6A" w:rsidP="00994826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49794C">
        <w:rPr>
          <w:rFonts w:ascii="Arial" w:hAnsi="Arial" w:cs="Arial"/>
          <w:sz w:val="20"/>
          <w:szCs w:val="20"/>
        </w:rPr>
        <w:t>Atenciosamente</w:t>
      </w:r>
    </w:p>
    <w:p w14:paraId="75B47E8F" w14:textId="511E9C05" w:rsidR="00D759C8" w:rsidRDefault="00D759C8" w:rsidP="00994826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A1BA26C" w14:textId="4C5BB2A1" w:rsidR="00A9513A" w:rsidRDefault="00A9513A" w:rsidP="00A951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59D36F57" w14:textId="1AC70D97" w:rsidR="00A9513A" w:rsidRDefault="00111718" w:rsidP="00A951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</w:t>
      </w:r>
      <w:r w:rsidR="00A9513A">
        <w:rPr>
          <w:rFonts w:ascii="Arial" w:hAnsi="Arial" w:cs="Arial"/>
          <w:sz w:val="20"/>
          <w:szCs w:val="20"/>
        </w:rPr>
        <w:t>Murilo Matias</w:t>
      </w:r>
    </w:p>
    <w:p w14:paraId="238E4931" w14:textId="15D43AF6" w:rsidR="00A9513A" w:rsidRDefault="00A9513A" w:rsidP="00A951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4B3BE" w14:textId="77777777" w:rsidR="00111718" w:rsidRDefault="00111718" w:rsidP="00A951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2524A9" w14:textId="77777777" w:rsidR="00111718" w:rsidRDefault="00111718" w:rsidP="00A951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62CEDF" w14:textId="77777777" w:rsidR="00111718" w:rsidRDefault="00111718" w:rsidP="00A951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E6B787" w14:textId="55FC2D4D" w:rsidR="00111718" w:rsidRPr="00111718" w:rsidRDefault="00111718" w:rsidP="00A951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1718">
        <w:rPr>
          <w:rFonts w:ascii="Arial" w:hAnsi="Arial" w:cs="Arial"/>
          <w:b/>
          <w:bCs/>
          <w:sz w:val="20"/>
          <w:szCs w:val="20"/>
        </w:rPr>
        <w:t>Endereço para correspondência:</w:t>
      </w:r>
    </w:p>
    <w:p w14:paraId="1A8BB712" w14:textId="77777777" w:rsidR="00111718" w:rsidRDefault="00111718" w:rsidP="00A951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E97A1" w14:textId="77777777" w:rsidR="00A9513A" w:rsidRPr="00A9513A" w:rsidRDefault="00A9513A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  <w:lang w:val="en-US"/>
        </w:rPr>
      </w:pPr>
      <w:r w:rsidRPr="00A9513A">
        <w:rPr>
          <w:rFonts w:ascii="Arial" w:hAnsi="Arial" w:cs="Arial"/>
          <w:sz w:val="20"/>
          <w:szCs w:val="20"/>
          <w:lang w:val="en-US"/>
        </w:rPr>
        <w:t xml:space="preserve">Prof. Dr. </w:t>
      </w:r>
      <w:proofErr w:type="spellStart"/>
      <w:r w:rsidRPr="00A9513A">
        <w:rPr>
          <w:rFonts w:ascii="Arial" w:hAnsi="Arial" w:cs="Arial"/>
          <w:sz w:val="20"/>
          <w:szCs w:val="20"/>
          <w:lang w:val="en-US"/>
        </w:rPr>
        <w:t>Murilo</w:t>
      </w:r>
      <w:proofErr w:type="spellEnd"/>
      <w:r w:rsidRPr="00A9513A">
        <w:rPr>
          <w:rFonts w:ascii="Arial" w:hAnsi="Arial" w:cs="Arial"/>
          <w:sz w:val="20"/>
          <w:szCs w:val="20"/>
          <w:lang w:val="en-US"/>
        </w:rPr>
        <w:t xml:space="preserve"> Matias</w:t>
      </w:r>
    </w:p>
    <w:p w14:paraId="271BB52F" w14:textId="184B3A5D" w:rsidR="00A9513A" w:rsidRP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Departamento de Ortodontia</w:t>
      </w:r>
    </w:p>
    <w:p w14:paraId="6D02A0AA" w14:textId="221218C3" w:rsidR="00A9513A" w:rsidRP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Universidade Guarulhos</w:t>
      </w:r>
      <w:r w:rsidR="00A9513A" w:rsidRPr="00111718">
        <w:rPr>
          <w:rFonts w:ascii="Arial" w:hAnsi="Arial" w:cs="Arial"/>
          <w:sz w:val="20"/>
          <w:szCs w:val="20"/>
        </w:rPr>
        <w:t xml:space="preserve"> (UNG)</w:t>
      </w:r>
    </w:p>
    <w:p w14:paraId="18DA9CBC" w14:textId="1E7A3307" w:rsidR="00A9513A" w:rsidRPr="00A9513A" w:rsidRDefault="00A9513A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A9513A">
        <w:rPr>
          <w:rFonts w:ascii="Arial" w:hAnsi="Arial" w:cs="Arial"/>
          <w:sz w:val="20"/>
          <w:szCs w:val="20"/>
        </w:rPr>
        <w:t>Rua Engenheiro Prestes Maia, 88</w:t>
      </w:r>
    </w:p>
    <w:p w14:paraId="15BB9F42" w14:textId="396D64E3" w:rsidR="00A9513A" w:rsidRPr="00111718" w:rsidRDefault="00A9513A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Guarulhos - SP - 07023-070, Bra</w:t>
      </w:r>
      <w:r w:rsidR="00111718">
        <w:rPr>
          <w:rFonts w:ascii="Arial" w:hAnsi="Arial" w:cs="Arial"/>
          <w:sz w:val="20"/>
          <w:szCs w:val="20"/>
        </w:rPr>
        <w:t>s</w:t>
      </w:r>
      <w:r w:rsidRPr="00111718">
        <w:rPr>
          <w:rFonts w:ascii="Arial" w:hAnsi="Arial" w:cs="Arial"/>
          <w:sz w:val="20"/>
          <w:szCs w:val="20"/>
        </w:rPr>
        <w:t>il</w:t>
      </w:r>
    </w:p>
    <w:p w14:paraId="59D95AFA" w14:textId="295A93FD" w:rsidR="00A9513A" w:rsidRP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Telefone</w:t>
      </w:r>
      <w:r w:rsidR="00A9513A" w:rsidRPr="00111718">
        <w:rPr>
          <w:rFonts w:ascii="Arial" w:hAnsi="Arial" w:cs="Arial"/>
          <w:sz w:val="20"/>
          <w:szCs w:val="20"/>
        </w:rPr>
        <w:t>/Fax: 55 11 2464-1700</w:t>
      </w:r>
    </w:p>
    <w:p w14:paraId="5DD0A996" w14:textId="462DE3D0" w:rsidR="00A9513A" w:rsidRPr="00111718" w:rsidRDefault="00A9513A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="00111718" w:rsidRPr="00111718">
          <w:rPr>
            <w:rStyle w:val="Hyperlink"/>
            <w:rFonts w:ascii="Arial" w:hAnsi="Arial" w:cs="Arial"/>
            <w:sz w:val="20"/>
            <w:szCs w:val="20"/>
          </w:rPr>
          <w:t>murilo.matias@prof.ung.br</w:t>
        </w:r>
      </w:hyperlink>
    </w:p>
    <w:p w14:paraId="2D5BAF82" w14:textId="69898E75" w:rsidR="00111718" w:rsidRP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5D2B0DEC" w14:textId="57C1F465" w:rsid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46C9A27A" w14:textId="406B0FB7" w:rsid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6646C0CF" w14:textId="435FC387" w:rsid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4BDCF553" w14:textId="76BC3E7A" w:rsid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2EB5B98B" w14:textId="0C9BE0A4" w:rsid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5305B092" w14:textId="77777777" w:rsidR="00111718" w:rsidRPr="00111718" w:rsidRDefault="00111718" w:rsidP="00111718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</w:p>
    <w:p w14:paraId="1C83E681" w14:textId="52310DFE" w:rsidR="00D759C8" w:rsidRPr="00BA4307" w:rsidRDefault="00D759C8" w:rsidP="00BA430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A4307">
        <w:rPr>
          <w:rFonts w:ascii="Arial" w:hAnsi="Arial" w:cs="Arial"/>
          <w:b/>
          <w:bCs/>
          <w:sz w:val="20"/>
          <w:szCs w:val="20"/>
        </w:rPr>
        <w:t>REFERÊNCIAS</w:t>
      </w:r>
    </w:p>
    <w:p w14:paraId="7F6CEC59" w14:textId="10B41503" w:rsidR="00D759C8" w:rsidRPr="00BA4307" w:rsidRDefault="00D759C8" w:rsidP="00BA430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3A47524" w14:textId="77777777" w:rsidR="00D759C8" w:rsidRPr="00BA4307" w:rsidRDefault="00D759C8" w:rsidP="00B453E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BA4307">
        <w:rPr>
          <w:rFonts w:ascii="Arial" w:hAnsi="Arial" w:cs="Arial"/>
          <w:noProof/>
          <w:sz w:val="20"/>
          <w:szCs w:val="20"/>
        </w:rPr>
        <w:t xml:space="preserve">Ghersel, H. (2005). Relação entre força e deflexão na ativação e desativação de fios ortodônticos de níquel-titânio. Ortodontia. São Paulo, Faculdade de Odontologia da Universidade de São Paulo. </w:t>
      </w:r>
      <w:r w:rsidRPr="00A9513A">
        <w:rPr>
          <w:rFonts w:ascii="Arial" w:hAnsi="Arial" w:cs="Arial"/>
          <w:noProof/>
          <w:sz w:val="20"/>
          <w:szCs w:val="20"/>
          <w:lang w:val="en-US"/>
        </w:rPr>
        <w:t>PhD</w:t>
      </w:r>
      <w:r w:rsidRPr="00A9513A">
        <w:rPr>
          <w:rFonts w:ascii="Arial" w:hAnsi="Arial" w:cs="Arial"/>
          <w:b/>
          <w:noProof/>
          <w:sz w:val="20"/>
          <w:szCs w:val="20"/>
          <w:lang w:val="en-US"/>
        </w:rPr>
        <w:t xml:space="preserve">: </w:t>
      </w:r>
      <w:r w:rsidRPr="00A9513A">
        <w:rPr>
          <w:rFonts w:ascii="Arial" w:hAnsi="Arial" w:cs="Arial"/>
          <w:noProof/>
          <w:sz w:val="20"/>
          <w:szCs w:val="20"/>
          <w:lang w:val="en-US"/>
        </w:rPr>
        <w:t>158.</w:t>
      </w:r>
    </w:p>
    <w:p w14:paraId="0A81764F" w14:textId="77777777" w:rsidR="00D759C8" w:rsidRPr="00BA4307" w:rsidRDefault="00D759C8" w:rsidP="00B453E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7C0C784" w14:textId="61FB609A" w:rsidR="00D759C8" w:rsidRPr="00BA4307" w:rsidRDefault="00D759C8" w:rsidP="00B453E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BA4307">
        <w:rPr>
          <w:rFonts w:ascii="Arial" w:hAnsi="Arial" w:cs="Arial"/>
          <w:color w:val="000000"/>
          <w:sz w:val="20"/>
          <w:szCs w:val="20"/>
          <w:lang w:val="en-US"/>
        </w:rPr>
        <w:t>Hershey, H. G. (1988). "The orthodontic appliance: esthetic considerations." J Am Dent Assoc117(4): 29E-34E.</w:t>
      </w:r>
    </w:p>
    <w:p w14:paraId="03B5E936" w14:textId="74C07A5B" w:rsidR="00BA4307" w:rsidRPr="00BA4307" w:rsidRDefault="00BA4307" w:rsidP="00B453E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71BF33" w14:textId="042D8614" w:rsidR="00D759C8" w:rsidRDefault="00BA4307" w:rsidP="00B453E1">
      <w:pPr>
        <w:spacing w:after="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bookmarkStart w:id="0" w:name="_ENREF_8"/>
      <w:r w:rsidRPr="00BA4307">
        <w:rPr>
          <w:rFonts w:ascii="Arial" w:hAnsi="Arial" w:cs="Arial"/>
          <w:noProof/>
          <w:sz w:val="20"/>
          <w:szCs w:val="20"/>
          <w:lang w:val="en-US"/>
        </w:rPr>
        <w:t xml:space="preserve">Huang, Z.-M., et al. (2003). "Fabrication of a new composite orthodontic archwire and validation by a bridging micromechanics model." </w:t>
      </w:r>
      <w:r w:rsidRPr="00B453E1">
        <w:rPr>
          <w:rFonts w:ascii="Arial" w:hAnsi="Arial" w:cs="Arial"/>
          <w:noProof/>
          <w:sz w:val="20"/>
          <w:szCs w:val="20"/>
          <w:lang w:val="en-US"/>
        </w:rPr>
        <w:t>Biomaterials</w:t>
      </w:r>
      <w:r w:rsidRPr="00BA4307">
        <w:rPr>
          <w:rFonts w:ascii="Arial" w:hAnsi="Arial" w:cs="Arial"/>
          <w:noProof/>
          <w:sz w:val="20"/>
          <w:szCs w:val="20"/>
          <w:lang w:val="en-US"/>
        </w:rPr>
        <w:t xml:space="preserve"> 24(17): 2941-2953.</w:t>
      </w:r>
      <w:bookmarkEnd w:id="0"/>
    </w:p>
    <w:p w14:paraId="617D5B58" w14:textId="77777777" w:rsidR="00BA4307" w:rsidRPr="00BA4307" w:rsidRDefault="00BA4307" w:rsidP="00B453E1">
      <w:pPr>
        <w:spacing w:after="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14:paraId="30CA0ABE" w14:textId="77777777" w:rsidR="00BA4307" w:rsidRPr="00BA4307" w:rsidRDefault="00BA4307" w:rsidP="00B453E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A4307">
        <w:rPr>
          <w:rFonts w:ascii="Arial" w:hAnsi="Arial" w:cs="Arial"/>
          <w:color w:val="000000"/>
          <w:sz w:val="20"/>
          <w:szCs w:val="20"/>
          <w:lang w:val="en-US"/>
        </w:rPr>
        <w:t>Kusy</w:t>
      </w:r>
      <w:proofErr w:type="spellEnd"/>
      <w:r w:rsidRPr="00BA4307">
        <w:rPr>
          <w:rFonts w:ascii="Arial" w:hAnsi="Arial" w:cs="Arial"/>
          <w:color w:val="000000"/>
          <w:sz w:val="20"/>
          <w:szCs w:val="20"/>
          <w:lang w:val="en-US"/>
        </w:rPr>
        <w:t xml:space="preserve">, R. P. (1997). "A review of contemporary archwires: their properties and characteristics." </w:t>
      </w:r>
      <w:proofErr w:type="spellStart"/>
      <w:r w:rsidRPr="00BA4307">
        <w:rPr>
          <w:rFonts w:ascii="Arial" w:hAnsi="Arial" w:cs="Arial"/>
          <w:color w:val="000000"/>
          <w:sz w:val="20"/>
          <w:szCs w:val="20"/>
        </w:rPr>
        <w:t>Angle</w:t>
      </w:r>
      <w:proofErr w:type="spellEnd"/>
      <w:r w:rsidRPr="00BA4307">
        <w:rPr>
          <w:rFonts w:ascii="Arial" w:hAnsi="Arial" w:cs="Arial"/>
          <w:color w:val="000000"/>
          <w:sz w:val="20"/>
          <w:szCs w:val="20"/>
        </w:rPr>
        <w:t xml:space="preserve"> Orthod67(3): 197-207.</w:t>
      </w:r>
    </w:p>
    <w:p w14:paraId="1FE681A3" w14:textId="77777777" w:rsidR="00BA4307" w:rsidRPr="00A9513A" w:rsidRDefault="00BA4307" w:rsidP="00B453E1">
      <w:pPr>
        <w:spacing w:after="0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AB6A46A" w14:textId="658B3670" w:rsidR="00D759C8" w:rsidRPr="00D759C8" w:rsidRDefault="00D759C8" w:rsidP="00B453E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A4307">
        <w:rPr>
          <w:rFonts w:ascii="Arial" w:hAnsi="Arial" w:cs="Arial"/>
          <w:color w:val="000000"/>
          <w:sz w:val="20"/>
          <w:szCs w:val="20"/>
        </w:rPr>
        <w:t xml:space="preserve">Quintão, C. C. A. </w:t>
      </w:r>
      <w:proofErr w:type="spellStart"/>
      <w:r w:rsidRPr="00BA4307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BA4307">
        <w:rPr>
          <w:rFonts w:ascii="Arial" w:hAnsi="Arial" w:cs="Arial"/>
          <w:color w:val="000000"/>
          <w:sz w:val="20"/>
          <w:szCs w:val="20"/>
        </w:rPr>
        <w:t xml:space="preserve"> I. H. V. P. </w:t>
      </w:r>
      <w:proofErr w:type="spellStart"/>
      <w:r w:rsidRPr="00BA4307">
        <w:rPr>
          <w:rFonts w:ascii="Arial" w:hAnsi="Arial" w:cs="Arial"/>
          <w:color w:val="000000"/>
          <w:sz w:val="20"/>
          <w:szCs w:val="20"/>
        </w:rPr>
        <w:t>Brunharo</w:t>
      </w:r>
      <w:proofErr w:type="spellEnd"/>
      <w:r w:rsidRPr="00BA4307">
        <w:rPr>
          <w:rFonts w:ascii="Arial" w:hAnsi="Arial" w:cs="Arial"/>
          <w:color w:val="000000"/>
          <w:sz w:val="20"/>
          <w:szCs w:val="20"/>
        </w:rPr>
        <w:t xml:space="preserve"> (2009). "Fios ortodônticos: conhecer para otimizar a aplicação clínica." Revista Dental Press de Ortodontia e Ortopedia Facial14: 144-157.</w:t>
      </w:r>
    </w:p>
    <w:sectPr w:rsidR="00D759C8" w:rsidRPr="00D759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6A"/>
    <w:rsid w:val="00111718"/>
    <w:rsid w:val="00156D2B"/>
    <w:rsid w:val="0038474A"/>
    <w:rsid w:val="0049794C"/>
    <w:rsid w:val="006B5458"/>
    <w:rsid w:val="00746CFE"/>
    <w:rsid w:val="00994826"/>
    <w:rsid w:val="00A64463"/>
    <w:rsid w:val="00A9513A"/>
    <w:rsid w:val="00B0302F"/>
    <w:rsid w:val="00B453E1"/>
    <w:rsid w:val="00BA4307"/>
    <w:rsid w:val="00D759C8"/>
    <w:rsid w:val="00F31E6A"/>
    <w:rsid w:val="00FB03FF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28EC"/>
  <w15:chartTrackingRefBased/>
  <w15:docId w15:val="{480DF57A-640F-4A01-B46B-99CB46A9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117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ilo.matias@prof.un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Fagundes</dc:creator>
  <cp:keywords/>
  <dc:description/>
  <cp:lastModifiedBy>Murilo Matias</cp:lastModifiedBy>
  <cp:revision>4</cp:revision>
  <dcterms:created xsi:type="dcterms:W3CDTF">2020-10-29T12:07:00Z</dcterms:created>
  <dcterms:modified xsi:type="dcterms:W3CDTF">2020-10-29T16:12:00Z</dcterms:modified>
</cp:coreProperties>
</file>